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SmartClickConnect Fact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SmartClickConnect creates meaningful connections between articles automatically, increasing average articles per visit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Cross-references proper nouns in a publication's past and current articles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Affordable resource for small to mid-sized publications, as well as large ones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Manual tagging available to publishers to add or remove tags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Eliminates manual tagging for every article; once a tag is added, it is added to all currently archived articles and all related future articles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Can be limited to one publication or across a group of a media company's owned publications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SmartClickConnect does not take readers off-site, unless specifically directed to do so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600" w:lineRule="auto"/>
        <w:ind w:left="204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Ability create central database with articles from sister publications, unlike other “related article” products available today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Designed for easy mobile use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Can be limited to currents subscribers or made available to all readers of the paper, integrating with Our Hometown’s customizable paywall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SmartClickConnect can be applied to all archived data, through a set date range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SmartClickConnect available as a free limited-trial to current Our Hometown, Inc clients</w:t>
      </w:r>
    </w:p>
    <w:p w:rsidR="00000000" w:rsidDel="00000000" w:rsidP="00000000" w:rsidRDefault="00000000" w:rsidRPr="00000000">
      <w:pPr>
        <w:spacing w:after="300" w:line="342.85714285714283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Powering SmartClickConnect: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Natural Language Processing/Machine Learning Infrastructure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00" w:line="360" w:lineRule="auto"/>
        <w:ind w:left="10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Our database contains: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600" w:lineRule="auto"/>
        <w:ind w:left="204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4,000,000+ articles archive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600" w:lineRule="auto"/>
        <w:ind w:left="204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2,000,000+ unique proper names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600" w:lineRule="auto"/>
        <w:ind w:left="204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52,000,000+ proper name references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600" w:lineRule="auto"/>
        <w:ind w:left="204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color w:val="444444"/>
          <w:sz w:val="20"/>
          <w:szCs w:val="20"/>
          <w:highlight w:val="white"/>
          <w:rtl w:val="0"/>
        </w:rPr>
        <w:t xml:space="preserve">2,000+ new articles added each day with the ability to process 25,000 articles per hour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Droid Serif" w:cs="Droid Serif" w:eastAsia="Droid Serif" w:hAnsi="Droid Serif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Droid Serif" w:cs="Droid Serif" w:eastAsia="Droid Serif" w:hAnsi="Droid Serif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erif" w:cs="Droid Serif" w:eastAsia="Droid Serif" w:hAnsi="Droid Serif"/>
        <w:color w:val="444444"/>
        <w:sz w:val="20"/>
        <w:szCs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Droid Serif" w:cs="Droid Serif" w:eastAsia="Droid Serif" w:hAnsi="Droid Serif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erif" w:cs="Droid Serif" w:eastAsia="Droid Serif" w:hAnsi="Droid Serif"/>
        <w:color w:val="444444"/>
        <w:sz w:val="20"/>
        <w:szCs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